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Для того, чтобы быть туристически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«Нарочанский» и «Браславские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«Прибужское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>и начале 2000-х годов многих удивляло упорное стремление государства хоть что-то вкладывать в восстановление Мирского и Несвижского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8128B2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Несвижский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>(дворец Пусловских)</w:t>
      </w:r>
      <w:r w:rsidR="00525475">
        <w:rPr>
          <w:rFonts w:cs="Times New Roman"/>
          <w:sz w:val="30"/>
          <w:szCs w:val="30"/>
          <w:lang w:eastAsia="ru-RU"/>
        </w:rPr>
        <w:t xml:space="preserve">, Ружанский дворцовый комплекс Сапег, Старый замок в </w:t>
      </w:r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 xml:space="preserve">Гродно, Лидский замок </w:t>
      </w:r>
      <w:r w:rsidR="00525475" w:rsidRPr="00381B30">
        <w:rPr>
          <w:rFonts w:cs="Times New Roman"/>
          <w:i/>
          <w:szCs w:val="28"/>
          <w:lang w:eastAsia="ru-RU"/>
        </w:rPr>
        <w:t>(Замок Гедемина)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>Президента Республики Беларусь А.Г.Лукашенко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«Купалье»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Витебске.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фестивально-праздничном календаре: Республиканский фестиваль национальных культур в </w:t>
      </w:r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 xml:space="preserve">Гродно, Национальный фестиваль белорусской песни и поэзии «Маладзечна»,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фест» в г.Мстиславле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0299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«Мотальскія прысмакі»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«Берестейские сани», чемпионат по ручному сенокошению на болотах «Споровские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«Браславские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>Республиканский фестиваль дружбы и искусства «Две реки», Международный пленэр народного декоративно-прикладного искусства в г.п.Копысь</w:t>
      </w:r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«Гуканне вясны»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«Стрэчанне», «Ваджэнне и пахаванне стралы», «Провады 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бульба-фест «Воранаўскі дранік» и каравай-фест «Бацькава булка»</w:t>
      </w:r>
      <w:r>
        <w:rPr>
          <w:rFonts w:cs="Times New Roman"/>
          <w:i/>
          <w:color w:val="000000" w:themeColor="text1"/>
          <w:szCs w:val="28"/>
        </w:rPr>
        <w:t>, праздник «Ивьевский помидор», фестиваль «ЛидБир», областной фестиваль бардовской песни памяти В.С.Высоцкого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«Засевки», колядные обряды «Цари» и «Шча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«Зяленыя 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«Гарбата па-сваяко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>Музей истории Великой Отечественной войны в г.Минске</w:t>
      </w:r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«Буйничское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>хотя язык не поворачивается назвать туризмом посещение мемориальных комплексов в Хатыни, Красном Береге, Тростенце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486C9C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</w:t>
      </w:r>
      <w:r w:rsidR="00EF64F4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А.Г.Лукашенко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«Купалье»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Православные духовные центры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>Католический духовный центр – костел Успения Пресвятой Девы Марии (Минская обл., Мядельский р-н, аг.Будслав).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>Иудейский духовный центр – синагога в г.Бобруйске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>Мусульманский духовный центр – мечеть в г.Ивье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67EB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>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E06774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286AC7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0E5AB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агроусадеб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1C5821">
        <w:rPr>
          <w:rFonts w:cs="Times New Roman"/>
          <w:b/>
          <w:i/>
          <w:color w:val="000000" w:themeColor="text1"/>
          <w:szCs w:val="28"/>
        </w:rPr>
        <w:t>Справочно: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CDC" w:rsidRDefault="00945CDC" w:rsidP="00EC7944">
      <w:pPr>
        <w:spacing w:after="0" w:line="240" w:lineRule="auto"/>
      </w:pPr>
      <w:r>
        <w:separator/>
      </w:r>
    </w:p>
  </w:endnote>
  <w:endnote w:type="continuationSeparator" w:id="0">
    <w:p w:rsidR="00945CDC" w:rsidRDefault="00945CDC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CDC" w:rsidRDefault="00945CDC" w:rsidP="00EC7944">
      <w:pPr>
        <w:spacing w:after="0" w:line="240" w:lineRule="auto"/>
      </w:pPr>
      <w:r>
        <w:separator/>
      </w:r>
    </w:p>
  </w:footnote>
  <w:footnote w:type="continuationSeparator" w:id="0">
    <w:p w:rsidR="00945CDC" w:rsidRDefault="00945CDC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150199">
          <w:rPr>
            <w:noProof/>
            <w:sz w:val="22"/>
          </w:rPr>
          <w:t>8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0199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40F8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5CDC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EF64F4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510D5-C48D-4C8B-93E0-222B9665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2740</Words>
  <Characters>15621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SidarchukOF</cp:lastModifiedBy>
  <cp:revision>2</cp:revision>
  <dcterms:created xsi:type="dcterms:W3CDTF">2026-05-13T12:33:00Z</dcterms:created>
  <dcterms:modified xsi:type="dcterms:W3CDTF">2026-05-13T12:33:00Z</dcterms:modified>
</cp:coreProperties>
</file>