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8"/>
        <w:gridCol w:w="3362"/>
      </w:tblGrid>
      <w:tr w:rsidR="002F14C4" w:rsidRPr="006F37E8" w:rsidTr="00A415B6">
        <w:trPr>
          <w:trHeight w:val="238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F37E8" w:rsidRDefault="002F14C4" w:rsidP="006F37E8">
            <w:pPr>
              <w:ind w:firstLine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F37E8" w:rsidRDefault="002F14C4" w:rsidP="006F37E8">
            <w:pPr>
              <w:spacing w:after="28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Приложение</w:t>
            </w:r>
          </w:p>
          <w:p w:rsidR="002F14C4" w:rsidRPr="006F37E8" w:rsidRDefault="002F14C4" w:rsidP="006F37E8">
            <w:pPr>
              <w:ind w:left="-6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к Инструкции о порядке проведения ежегодного районного смотра-конкурса на лучшую организацию работы по охране труда в </w:t>
            </w:r>
            <w:r w:rsidR="00FD7098"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организациях</w:t>
            </w:r>
            <w:proofErr w:type="gramEnd"/>
            <w:r w:rsidR="00FD7098"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Пинско</w:t>
            </w:r>
            <w:r w:rsidR="00FD7098"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го</w:t>
            </w:r>
            <w:r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район</w:t>
            </w:r>
            <w:r w:rsidR="00FD7098"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6F37E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F14C4" w:rsidRPr="006F37E8" w:rsidRDefault="006F37E8" w:rsidP="006F37E8">
      <w:pPr>
        <w:jc w:val="both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2F14C4" w:rsidRPr="006F37E8">
        <w:rPr>
          <w:rFonts w:eastAsia="Times New Roman" w:cs="Times New Roman"/>
          <w:i/>
          <w:sz w:val="20"/>
          <w:szCs w:val="20"/>
          <w:lang w:eastAsia="ru-RU"/>
        </w:rPr>
        <w:t>Форма</w:t>
      </w:r>
    </w:p>
    <w:p w:rsidR="002F14C4" w:rsidRPr="00045595" w:rsidRDefault="002F14C4" w:rsidP="006F37E8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45595">
        <w:rPr>
          <w:rFonts w:eastAsia="Times New Roman" w:cs="Times New Roman"/>
          <w:bCs/>
          <w:sz w:val="24"/>
          <w:szCs w:val="24"/>
          <w:lang w:eastAsia="ru-RU"/>
        </w:rPr>
        <w:t xml:space="preserve">СПРАВКА </w:t>
      </w:r>
    </w:p>
    <w:p w:rsidR="002F14C4" w:rsidRPr="00045595" w:rsidRDefault="002F14C4" w:rsidP="00E054D7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45595">
        <w:rPr>
          <w:rFonts w:eastAsia="Times New Roman" w:cs="Times New Roman"/>
          <w:bCs/>
          <w:sz w:val="24"/>
          <w:szCs w:val="24"/>
          <w:lang w:eastAsia="ru-RU"/>
        </w:rPr>
        <w:t xml:space="preserve">об оценке показателей состояния условий и охраны труда </w:t>
      </w:r>
    </w:p>
    <w:p w:rsidR="002F14C4" w:rsidRPr="00045595" w:rsidRDefault="002F14C4" w:rsidP="00E054D7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45595">
        <w:rPr>
          <w:rFonts w:eastAsia="Times New Roman" w:cs="Times New Roman"/>
          <w:bCs/>
          <w:sz w:val="24"/>
          <w:szCs w:val="24"/>
          <w:lang w:eastAsia="ru-RU"/>
        </w:rPr>
        <w:t>в____________________________________________________</w:t>
      </w:r>
      <w:r w:rsidR="00124F5D" w:rsidRPr="00045595">
        <w:rPr>
          <w:rFonts w:eastAsia="Times New Roman" w:cs="Times New Roman"/>
          <w:bCs/>
          <w:sz w:val="24"/>
          <w:szCs w:val="24"/>
          <w:lang w:eastAsia="ru-RU"/>
        </w:rPr>
        <w:t>___________</w:t>
      </w:r>
      <w:r w:rsidR="00045595">
        <w:rPr>
          <w:rFonts w:eastAsia="Times New Roman" w:cs="Times New Roman"/>
          <w:bCs/>
          <w:sz w:val="24"/>
          <w:szCs w:val="24"/>
          <w:lang w:eastAsia="ru-RU"/>
        </w:rPr>
        <w:t>______</w:t>
      </w:r>
      <w:r w:rsidR="00124F5D" w:rsidRPr="00045595">
        <w:rPr>
          <w:rFonts w:eastAsia="Times New Roman" w:cs="Times New Roman"/>
          <w:bCs/>
          <w:sz w:val="24"/>
          <w:szCs w:val="24"/>
          <w:lang w:eastAsia="ru-RU"/>
        </w:rPr>
        <w:t>____</w:t>
      </w:r>
    </w:p>
    <w:p w:rsidR="002F14C4" w:rsidRPr="00045595" w:rsidRDefault="002F14C4" w:rsidP="002F14C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(полное наименование организации, ведомственная принадлежность)</w:t>
      </w:r>
    </w:p>
    <w:p w:rsidR="002F14C4" w:rsidRPr="00045595" w:rsidRDefault="002F14C4" w:rsidP="002F14C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за _________ год</w:t>
      </w:r>
    </w:p>
    <w:p w:rsidR="002F14C4" w:rsidRPr="00045595" w:rsidRDefault="002F14C4" w:rsidP="002F14C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1.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color w:val="000000"/>
          <w:sz w:val="24"/>
          <w:szCs w:val="24"/>
          <w:lang w:eastAsia="ru-RU"/>
        </w:rPr>
        <w:t>Место нахождения (почтовый адрес)</w:t>
      </w:r>
      <w:r w:rsidRPr="00045595">
        <w:rPr>
          <w:rFonts w:eastAsia="Times New Roman" w:cs="Times New Roman"/>
          <w:sz w:val="24"/>
          <w:szCs w:val="24"/>
          <w:lang w:eastAsia="ru-RU"/>
        </w:rPr>
        <w:t xml:space="preserve"> ____</w:t>
      </w:r>
      <w:r w:rsidR="00A415B6" w:rsidRPr="00045595">
        <w:rPr>
          <w:rFonts w:eastAsia="Times New Roman" w:cs="Times New Roman"/>
          <w:sz w:val="24"/>
          <w:szCs w:val="24"/>
          <w:lang w:eastAsia="ru-RU"/>
        </w:rPr>
        <w:t>__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_______________________________________________________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Pr="00045595">
        <w:rPr>
          <w:rFonts w:eastAsia="Times New Roman" w:cs="Times New Roman"/>
          <w:sz w:val="24"/>
          <w:szCs w:val="24"/>
          <w:lang w:eastAsia="ru-RU"/>
        </w:rPr>
        <w:t>___</w:t>
      </w:r>
    </w:p>
    <w:p w:rsidR="002F14C4" w:rsidRPr="00045595" w:rsidRDefault="002F14C4" w:rsidP="002F14C4">
      <w:pPr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2.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Телефон, факс</w:t>
      </w:r>
      <w:r w:rsidR="00A415B6" w:rsidRPr="000455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</w:p>
    <w:p w:rsidR="002F14C4" w:rsidRPr="00045595" w:rsidRDefault="002F14C4" w:rsidP="002F14C4">
      <w:pPr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3.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Адрес электронной почты ________________________________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4.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Организационно-правовая форма 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5.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15B6" w:rsidRPr="00045595">
        <w:rPr>
          <w:rFonts w:eastAsia="Times New Roman" w:cs="Times New Roman"/>
          <w:sz w:val="24"/>
          <w:szCs w:val="24"/>
          <w:lang w:eastAsia="ru-RU"/>
        </w:rPr>
        <w:t>Основной вид деятельности_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6.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Форма собственности ________________________________________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7.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Наименование выпускаемой продукции (товаров, работ, услуг) _</w:t>
      </w:r>
      <w:r w:rsidR="00A415B6"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8.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Руководитель организации 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="00045595">
        <w:rPr>
          <w:rFonts w:eastAsia="Times New Roman" w:cs="Times New Roman"/>
          <w:sz w:val="24"/>
          <w:szCs w:val="24"/>
          <w:lang w:eastAsia="ru-RU"/>
        </w:rPr>
        <w:t>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</w:p>
    <w:p w:rsidR="002F14C4" w:rsidRPr="006D0D5C" w:rsidRDefault="002F14C4" w:rsidP="002F14C4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D0D5C">
        <w:rPr>
          <w:rFonts w:eastAsia="Times New Roman" w:cs="Times New Roman"/>
          <w:sz w:val="20"/>
          <w:szCs w:val="20"/>
          <w:lang w:eastAsia="ru-RU"/>
        </w:rPr>
        <w:t xml:space="preserve">(должность, фамилия, собственное имя, </w:t>
      </w:r>
      <w:proofErr w:type="gramEnd"/>
    </w:p>
    <w:p w:rsidR="002F14C4" w:rsidRPr="00045595" w:rsidRDefault="002F14C4" w:rsidP="002F14C4">
      <w:pPr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7B1BE7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</w:p>
    <w:p w:rsidR="002F14C4" w:rsidRPr="006D0D5C" w:rsidRDefault="002F14C4" w:rsidP="002F14C4">
      <w:pPr>
        <w:ind w:left="3402"/>
        <w:jc w:val="both"/>
        <w:rPr>
          <w:rFonts w:eastAsia="Times New Roman" w:cs="Times New Roman"/>
          <w:sz w:val="20"/>
          <w:szCs w:val="20"/>
          <w:lang w:eastAsia="ru-RU"/>
        </w:rPr>
      </w:pPr>
      <w:r w:rsidRPr="006D0D5C">
        <w:rPr>
          <w:rFonts w:eastAsia="Times New Roman" w:cs="Times New Roman"/>
          <w:sz w:val="20"/>
          <w:szCs w:val="20"/>
          <w:lang w:eastAsia="ru-RU"/>
        </w:rPr>
        <w:t>отчество (если таковое имеется)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9.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Вышестоящая организация (при наличии) 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="007B1BE7">
        <w:rPr>
          <w:rFonts w:eastAsia="Times New Roman" w:cs="Times New Roman"/>
          <w:sz w:val="24"/>
          <w:szCs w:val="24"/>
          <w:lang w:eastAsia="ru-RU"/>
        </w:rPr>
        <w:t>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10.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Начальник службы охраны труда (специалист по охране труда) либо привлеченное юридическое лицо (индивидуальный предприниматель), аккредитованное (аккредитованный) на оказание услуг в области охраны труда_________________________________________________________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="007B1BE7">
        <w:rPr>
          <w:rFonts w:eastAsia="Times New Roman" w:cs="Times New Roman"/>
          <w:sz w:val="24"/>
          <w:szCs w:val="24"/>
          <w:lang w:eastAsia="ru-RU"/>
        </w:rPr>
        <w:t>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</w:p>
    <w:p w:rsidR="00E054D7" w:rsidRPr="00045595" w:rsidRDefault="002F14C4" w:rsidP="002F14C4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D0D5C">
        <w:rPr>
          <w:rFonts w:eastAsia="Times New Roman" w:cs="Times New Roman"/>
          <w:sz w:val="20"/>
          <w:szCs w:val="20"/>
          <w:lang w:eastAsia="ru-RU"/>
        </w:rPr>
        <w:t xml:space="preserve">(должность, фамилия, собственное имя, отчество (если таковое 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</w:t>
      </w:r>
      <w:r w:rsidR="00A415B6"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  <w:r w:rsidR="007B1BE7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  <w:proofErr w:type="gramEnd"/>
    </w:p>
    <w:p w:rsidR="002F14C4" w:rsidRPr="006D0D5C" w:rsidRDefault="002F14C4" w:rsidP="002F14C4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D0D5C">
        <w:rPr>
          <w:rFonts w:eastAsia="Times New Roman" w:cs="Times New Roman"/>
          <w:sz w:val="20"/>
          <w:szCs w:val="20"/>
          <w:lang w:eastAsia="ru-RU"/>
        </w:rPr>
        <w:t>имеется), тел./факс, адрес электронной почты)</w:t>
      </w:r>
      <w:proofErr w:type="gramEnd"/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11.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Председатель профсоюзного комитета (уполномоченное лицо по охране труда организации)</w:t>
      </w:r>
      <w:r w:rsidR="00A415B6" w:rsidRPr="000455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7B1BE7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</w:p>
    <w:p w:rsidR="002F14C4" w:rsidRPr="00045595" w:rsidRDefault="002F14C4" w:rsidP="002F14C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0D5C">
        <w:rPr>
          <w:rFonts w:eastAsia="Times New Roman" w:cs="Times New Roman"/>
          <w:sz w:val="20"/>
          <w:szCs w:val="20"/>
          <w:lang w:eastAsia="ru-RU"/>
        </w:rPr>
        <w:t xml:space="preserve">                                   </w:t>
      </w:r>
      <w:proofErr w:type="gramStart"/>
      <w:r w:rsidRPr="006D0D5C">
        <w:rPr>
          <w:rFonts w:eastAsia="Times New Roman" w:cs="Times New Roman"/>
          <w:sz w:val="20"/>
          <w:szCs w:val="20"/>
          <w:lang w:eastAsia="ru-RU"/>
        </w:rPr>
        <w:t>(должность, фамилия, собственное имя, отчество</w:t>
      </w:r>
      <w:r w:rsidRPr="00045595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6D0D5C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</w:t>
      </w:r>
      <w:proofErr w:type="gramEnd"/>
    </w:p>
    <w:p w:rsidR="002F14C4" w:rsidRPr="006D0D5C" w:rsidRDefault="002F14C4" w:rsidP="002F14C4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D0D5C">
        <w:rPr>
          <w:rFonts w:eastAsia="Times New Roman" w:cs="Times New Roman"/>
          <w:sz w:val="20"/>
          <w:szCs w:val="20"/>
          <w:lang w:eastAsia="ru-RU"/>
        </w:rPr>
        <w:t>если таковое имеется), тел./факс, адрес электронной почты)</w:t>
      </w:r>
      <w:proofErr w:type="gramEnd"/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12.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Списочная численность работников на конец года (человек) 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="006D0D5C">
        <w:rPr>
          <w:rFonts w:eastAsia="Times New Roman" w:cs="Times New Roman"/>
          <w:sz w:val="24"/>
          <w:szCs w:val="24"/>
          <w:lang w:eastAsia="ru-RU"/>
        </w:rPr>
        <w:t>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Pr="00045595">
        <w:rPr>
          <w:rFonts w:eastAsia="Times New Roman" w:cs="Times New Roman"/>
          <w:sz w:val="24"/>
          <w:szCs w:val="24"/>
          <w:lang w:eastAsia="ru-RU"/>
        </w:rPr>
        <w:t>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13.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Количество рабочих мест __________________________________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</w:t>
      </w:r>
      <w:r w:rsidR="006D0D5C">
        <w:rPr>
          <w:rFonts w:eastAsia="Times New Roman" w:cs="Times New Roman"/>
          <w:sz w:val="24"/>
          <w:szCs w:val="24"/>
          <w:lang w:eastAsia="ru-RU"/>
        </w:rPr>
        <w:t>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14.</w:t>
      </w:r>
      <w:r w:rsidRPr="00045595" w:rsidDel="007D44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595">
        <w:rPr>
          <w:rFonts w:eastAsia="Times New Roman" w:cs="Times New Roman"/>
          <w:sz w:val="24"/>
          <w:szCs w:val="24"/>
          <w:lang w:eastAsia="ru-RU"/>
        </w:rPr>
        <w:t>Наличие профсоюзной организации и коллективного договора 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</w:t>
      </w:r>
      <w:r w:rsidR="006D0D5C">
        <w:rPr>
          <w:rFonts w:eastAsia="Times New Roman" w:cs="Times New Roman"/>
          <w:sz w:val="24"/>
          <w:szCs w:val="24"/>
          <w:lang w:eastAsia="ru-RU"/>
        </w:rPr>
        <w:t>____________</w:t>
      </w:r>
      <w:r w:rsidRPr="00045595">
        <w:rPr>
          <w:rFonts w:eastAsia="Times New Roman" w:cs="Times New Roman"/>
          <w:sz w:val="24"/>
          <w:szCs w:val="24"/>
          <w:lang w:eastAsia="ru-RU"/>
        </w:rPr>
        <w:t>___</w:t>
      </w:r>
    </w:p>
    <w:p w:rsidR="002F14C4" w:rsidRPr="00045595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559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</w:t>
      </w:r>
      <w:r w:rsidR="006D0D5C">
        <w:rPr>
          <w:rFonts w:eastAsia="Times New Roman" w:cs="Times New Roman"/>
          <w:sz w:val="24"/>
          <w:szCs w:val="24"/>
          <w:lang w:eastAsia="ru-RU"/>
        </w:rPr>
        <w:t>____________</w:t>
      </w:r>
      <w:r w:rsidR="00816414" w:rsidRPr="00045595">
        <w:rPr>
          <w:rFonts w:eastAsia="Times New Roman" w:cs="Times New Roman"/>
          <w:sz w:val="24"/>
          <w:szCs w:val="24"/>
          <w:lang w:eastAsia="ru-RU"/>
        </w:rPr>
        <w:t>____</w:t>
      </w:r>
      <w:r w:rsidRPr="00045595">
        <w:rPr>
          <w:rFonts w:eastAsia="Times New Roman" w:cs="Times New Roman"/>
          <w:sz w:val="24"/>
          <w:szCs w:val="24"/>
          <w:lang w:eastAsia="ru-RU"/>
        </w:rPr>
        <w:t>____</w:t>
      </w:r>
    </w:p>
    <w:p w:rsidR="002F14C4" w:rsidRPr="006D0D5C" w:rsidRDefault="002F14C4" w:rsidP="002F1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D0D5C">
        <w:rPr>
          <w:rFonts w:eastAsia="Times New Roman" w:cs="Times New Roman"/>
          <w:sz w:val="24"/>
          <w:szCs w:val="24"/>
          <w:lang w:eastAsia="ru-RU"/>
        </w:rPr>
        <w:t>15. Сведения о показателях состояния условий и охраны труда, их оценке.</w:t>
      </w:r>
    </w:p>
    <w:p w:rsidR="002F14C4" w:rsidRPr="002F14C4" w:rsidRDefault="002F14C4" w:rsidP="002F14C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1567"/>
        <w:gridCol w:w="1999"/>
        <w:gridCol w:w="1127"/>
        <w:gridCol w:w="1220"/>
        <w:gridCol w:w="836"/>
      </w:tblGrid>
      <w:tr w:rsidR="002F14C4" w:rsidRPr="00A415B6" w:rsidTr="00A415B6">
        <w:trPr>
          <w:trHeight w:val="238"/>
        </w:trPr>
        <w:tc>
          <w:tcPr>
            <w:tcW w:w="15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Цифровой показатель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2F14C4" w:rsidRPr="00A415B6" w:rsidTr="00A415B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системы управления охраной труда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1. Система управления охраной труда: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внедрена</w:t>
            </w:r>
            <w:proofErr w:type="gramEnd"/>
            <w:r w:rsidR="00A415B6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– 1 балл;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не внедрена</w:t>
            </w:r>
            <w:r w:rsidR="00A415B6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– баллы не начисляются: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1.1. применяется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1.2. не применяется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Система управления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охраной труда: сертифицирована – 3 балла;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не сертифицирована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 сертифицирована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2.2. не сертифицирована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5B6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специалистов по охране труда либо наличие привлеченных юридических лиц (индивидуальных предпринимателей), аккредитованных на оказание услуг в области охраны труда: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фактическая соответствует нормативной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1</w:t>
            </w:r>
            <w:r w:rsidR="00A415B6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балл;</w:t>
            </w:r>
            <w:proofErr w:type="gramEnd"/>
          </w:p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фактическая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соответствует нормативной (менее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%)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3.1. нормативная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3.2. фактическая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5B6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квалификации специалистов по охране труда требованиям постановления Министерства труда Республики Беларусь от 30 декабря 1999 г. № 159 «Об утверждении выпуска 1 Единого квалификационного справочника должностей служащих (ЕКСД) «Должности служащих для всех видов деятельности», выпуска 6 ЕКСД «Должности служащих, занятых в машиностроении и металлообработке», выпуска 33 ЕКСД «Должности служащих, занятых финансами, кредитом и страхованием» и выпуска 21 ЕКСД «Должности служащих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геодезией и картографией»: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соответствует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A415B6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A415B6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балл;</w:t>
            </w:r>
          </w:p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 менее 100% – баллы</w:t>
            </w:r>
            <w:r w:rsidR="00A415B6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4.1. численность специалистов по охране труда, образование которых не соответствует квалификационным требованиям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4.2. удельный вес специалистов по охране труда, образование которых не соответствует квалификационным требованиям, от всех специалистов по охране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5B6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5. Обеспеченность нормативной документацией в области охраны труда, в том числе инструкциями по охране труда для работников по всем профессиям и видам выполняемых работ: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– 1 балл; </w:t>
            </w:r>
          </w:p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100%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5.1. количество инструкций по охране труда по профессиям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5.2. количество инструкций по охране труда по видам работ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6. Кабинет охраны труда (уголок по охране труда):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наличии кабинета охраны труда – 3 балла;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наличии уголка по охране труда – 2 балла;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отсутствии кабинета охраны труда</w:t>
            </w:r>
            <w:r w:rsidRPr="006D0D5C" w:rsidDel="002A1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(уголка по охране труда)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6.1. наличие кабинета охраны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единиц, квадратных метров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6.2. наличие уголка по охране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единиц, квадратных метров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Прохождение обучения и проверки знаний по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вопросам охраны труда руководителями, специалистами и другими работниками организации: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1 балл;</w:t>
            </w:r>
          </w:p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7.1. прошедшие обучение и проверку знаний по вопросам охраны труда руководители, специалисты, другие работники организации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7.2. удельный вес прошедших обучение и проверку знаний по вопросам охраны труда руководителей, специалистов, других работников организации от общей численности работников, подлежащих прохождению проверки знаний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  <w:r w:rsidRPr="006D0D5C" w:rsidDel="002A1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соблюдением работниками требований по охране труда, осуществляемый руководителем организации, должностными лицами, ответственными за организацию охраны труда, руководителями структурных подразделений, работниками службы охраны труда (специалистом по охране труда), представителями профессиональных союзов, в том числе общественными инспекторами по охране труда: </w:t>
            </w:r>
          </w:p>
          <w:p w:rsidR="004E3E85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организован – 1 балл; </w:t>
            </w:r>
          </w:p>
          <w:p w:rsidR="002F14C4" w:rsidRPr="006D0D5C" w:rsidRDefault="002F14C4" w:rsidP="00A415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организован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8.1.</w:t>
            </w:r>
            <w:r w:rsidRPr="006D0D5C" w:rsidDel="002A1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организован 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соблюдением работниками требований по охране труда в соответствии с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2020 г. № 51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8.2. не организован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Проведение дней охраны труда: проводятся – 1 балл; </w:t>
            </w:r>
          </w:p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не проводятся – баллы не начисляются: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9.1. организовано (не организовано) проведение дней охраны труда в организации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9.2. количество проведенных дней охраны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улучшению условий и охраны труда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10. Снижение удельного веса рабочих ме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ст с вр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едными и (или) опасными условиями труда по сравнению с предыдущим годом: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 каждый процент сокращения – 3 балла: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10.1. количество рабочих ме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ст с вр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едными и</w:t>
            </w:r>
            <w:r w:rsidRPr="006D0D5C" w:rsidDel="00E402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(или) опасными условиями труда, приведенных в соответствие с требованиями санитарно-гигиенических нормативов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10.2. количество рабочих ме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ст с вр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едными и</w:t>
            </w:r>
            <w:r w:rsidRPr="006D0D5C" w:rsidDel="00E402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(или) опасными условиями труда, на которых в соответствии с законодательством работникам предусмотрены компенсации по условиям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10.3. удельный вес рабочих ме</w:t>
            </w:r>
            <w:proofErr w:type="gramStart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ст с вр</w:t>
            </w:r>
            <w:proofErr w:type="gramEnd"/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едными и</w:t>
            </w:r>
            <w:r w:rsidRPr="006D0D5C" w:rsidDel="00E402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(или) опасными условиями труда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 общему количеству рабочих мест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11. Сокращение удельного веса работников, занятых на рабочих местах с вредными и (или) опасными условиями труда по сравнению с предыдущим годом: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 каждый процент сокращения – 3 балла: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11.1. численность работников, условия труда которых приведены в соответствие с требованиями санитарно-гигиенических нормативов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11.2. численность работников, занятых на рабочих местах с вредными и (или) опасными условиями труда, на которых в соответствии с законодательством работникам предусмотрены компенсации по условиям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11.3. удельный вес работников, занятых на рабочих местах с вредными и (или) опасными условиями труда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12. Удельный вес рабочих мест, аттестованных по условиям труда, от общего числа рабочих мест, подлежащих аттестаци</w:t>
            </w: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100% – 3 балла;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баллы не 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13. Выполнение плана мероприятий по охране труда, разработанного в соответствии с постановлением Министерства труда и социальной защиты Республики Беларусь от 28 ноября 2013 г. №</w:t>
            </w:r>
            <w:r w:rsidR="004E3E85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111 «Об утверждении Инструкции о порядке планирования и разработки мероприятий по охране труда»: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100 % выполнения – 1 балл; 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100 % – баллы не начисляются (мероприятия, утратившие необходимость их выполнения в течение года и исключенные из плана мероприятий по охране труда в установленном порядке, невыполненными не считаются):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13.1. количество запланированных мероприятий – 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13.2. из них выполнено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13.3. запланировано средств на выполнение плана мероприятий – 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белорусских рублей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13.4. из них фактически израсходовано средств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белорусских рублей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14. Израсходовано средств на охрану труда в расчете на одного работника: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менее 10 базовых величин – баллы не начисляются; </w:t>
            </w:r>
          </w:p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10 базовых величин – 1 балл и за увеличение данной суммы на 1 базовую величину добавляется по 0,2 балла, но не более двух баллов в целом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базовых величин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15. Израсходовано средств на охрану труда в расчете на одного работника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белорусских рублей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производственного травматизма и профессиональной заболеваемости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16. Отсутствие несчастных случаев на производстве – 5 баллов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17. Численность потерпевших при несчастных случаях на производстве – всего: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17.1. количество несчастных случаев со смертельным исходом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17.2. количество несчастных случаев со смертельным исходом, произошедших по вине нанимателя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17.3. количество несчастных случаев с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тяжелым исходом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17.4. количество несчастных случаев с тяжелым исходом, произошедших по вине нанимателя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18. Снижение коэффициента частоты производственного травматизма (</w:t>
            </w:r>
            <w:r w:rsidRPr="006D0D5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потерпевших при несчастных случаях на производстве с утратой трудоспособности на 1 рабочий день и более и со смертельным исходом в отчетном году к</w:t>
            </w: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численности застрахованных в расчете на 1000 работников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) по сравнению с предыдущим годом: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0,1 до 1 – 1 балл;</w:t>
            </w:r>
          </w:p>
          <w:p w:rsidR="004E3E85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от 1 до 5 – 2 балла;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на 5 и более – 3 балла: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частоты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adjustRightInd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18.1. </w:t>
            </w:r>
            <w:r w:rsidRPr="006D0D5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потерпевших при несчастных случаях на производстве с утратой трудоспособности на 1 рабочий день и более и со смертельным исходом за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18.2. средняя численность застрахованных лиц за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widowControl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 Снижение </w:t>
            </w: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коэффициента</w:t>
            </w:r>
          </w:p>
          <w:p w:rsidR="004E3E85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частоты производственного травматизма со смертельным исходом (количество потерпевших со смертельным исходом за отчетный период на 1000 работников)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сравнению с предыдущим годом: </w:t>
            </w:r>
          </w:p>
          <w:p w:rsidR="004E3E85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от 1 до 5 – 1 балл;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на 5 и более – 2 балла: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частоты со смертельным исходом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widowControl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19.1. </w:t>
            </w: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численность потерпевших при несчастных случаях на производстве со смертельным исходом за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19.2. </w:t>
            </w:r>
            <w:r w:rsidRPr="006D0D5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численность застрахованных лиц за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20. Не установлено профессиональных заболеваний – 2 балла.</w:t>
            </w:r>
          </w:p>
          <w:p w:rsidR="002F14C4" w:rsidRPr="006D0D5C" w:rsidRDefault="002F14C4" w:rsidP="002F14C4">
            <w:pPr>
              <w:widowControl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профессиональной заболеваемости (численность потерпевших, у которых впервые зарегистрированы профессиональные заболевания к средней численности застрахованных в расчете на 10 тыс. застрахованных) по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сравнению с предыдущим годом – 1 балл: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20.1. </w:t>
            </w:r>
            <w:r w:rsidRPr="006D0D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численность потерпевших, у которых впервые зарегистрированы профессиональные заболевания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20.2. </w:t>
            </w:r>
            <w:r w:rsidRPr="006D0D5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численность застрахованных лиц за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14C4" w:rsidRPr="00A415B6" w:rsidTr="00A415B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Санитарно-бытовое и лечебно-профилактическое обслуживание работников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21. Обеспеченность работников средствами индивидуальной защиты согласно нормам: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100% – 1 балл;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баллы не 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22. Выполнение порядка выдачи и содержания средств индивидуальной защиты: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выполняется – 1 балл;</w:t>
            </w:r>
          </w:p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не выполняется – баллы не 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E85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23. Обеспеченность работников санитарно-бытовыми помещениями и устройствами: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1 балл;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100% – баллы не</w:t>
            </w:r>
            <w:r w:rsidR="004E3E85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24. Охват работников, подлежащих прохождению в отчетном году периодических медицинских осмотров: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1 балл;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менее 100</w:t>
            </w:r>
            <w:r w:rsidR="00896BD2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% – баллы не 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25. Проведение предсменного медицинского осмотра и освидетельствования на предмет нахождения в состоянии алкогольного, наркотического или токсического опьянения: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организовано – 1 балл;</w:t>
            </w:r>
          </w:p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не организовано – баллы не 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представленных материалов</w:t>
            </w:r>
          </w:p>
        </w:tc>
      </w:tr>
      <w:tr w:rsidR="002F14C4" w:rsidRPr="00A415B6" w:rsidTr="00A415B6">
        <w:trPr>
          <w:trHeight w:val="238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26. Творческое оформление материалов, представленных на смотр-конкурс с использованием фото-, видеоматериалов, презентации, буклета: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оформлено – 5 баллов;</w:t>
            </w:r>
          </w:p>
          <w:p w:rsidR="002F14C4" w:rsidRPr="006D0D5C" w:rsidRDefault="002F14C4" w:rsidP="004E3E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не оформлено – баллы не</w:t>
            </w:r>
            <w:r w:rsidR="004E3E85"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начисляются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4" w:rsidRPr="00A415B6" w:rsidTr="00A415B6">
        <w:trPr>
          <w:trHeight w:val="238"/>
        </w:trPr>
        <w:tc>
          <w:tcPr>
            <w:tcW w:w="4567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0D5C"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оценка в баллах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6D0D5C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E85" w:rsidRDefault="004E3E85" w:rsidP="002F14C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1000" w:rsidRPr="002F14C4" w:rsidRDefault="002C1000" w:rsidP="002F14C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92"/>
        <w:gridCol w:w="133"/>
        <w:gridCol w:w="311"/>
        <w:gridCol w:w="37"/>
        <w:gridCol w:w="2111"/>
        <w:gridCol w:w="104"/>
        <w:gridCol w:w="64"/>
        <w:gridCol w:w="141"/>
        <w:gridCol w:w="2951"/>
      </w:tblGrid>
      <w:tr w:rsidR="002F14C4" w:rsidRPr="002F14C4" w:rsidTr="00A415B6">
        <w:trPr>
          <w:gridBefore w:val="1"/>
          <w:wBefore w:w="3" w:type="pct"/>
          <w:trHeight w:val="238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F14C4" w:rsidRPr="002F14C4" w:rsidTr="00A415B6">
        <w:trPr>
          <w:gridBefore w:val="1"/>
          <w:wBefore w:w="3" w:type="pct"/>
          <w:trHeight w:val="238"/>
        </w:trPr>
        <w:tc>
          <w:tcPr>
            <w:tcW w:w="19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 ______________ __________</w:t>
            </w:r>
            <w:proofErr w:type="gramStart"/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(подпись)</w:t>
            </w:r>
          </w:p>
        </w:tc>
        <w:tc>
          <w:tcPr>
            <w:tcW w:w="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F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2F14C4" w:rsidRPr="002F14C4" w:rsidTr="00A415B6">
        <w:trPr>
          <w:gridBefore w:val="1"/>
          <w:wBefore w:w="3" w:type="pct"/>
          <w:trHeight w:val="238"/>
        </w:trPr>
        <w:tc>
          <w:tcPr>
            <w:tcW w:w="0" w:type="auto"/>
            <w:vMerge/>
            <w:vAlign w:val="center"/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4C4" w:rsidRPr="002F14C4" w:rsidTr="00A415B6">
        <w:trPr>
          <w:trHeight w:val="238"/>
        </w:trPr>
        <w:tc>
          <w:tcPr>
            <w:tcW w:w="203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профсоюзного</w:t>
            </w:r>
            <w:proofErr w:type="gramEnd"/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F14C4" w:rsidRPr="002F14C4" w:rsidTr="00A415B6">
        <w:trPr>
          <w:trHeight w:val="238"/>
        </w:trPr>
        <w:tc>
          <w:tcPr>
            <w:tcW w:w="203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_____ ______________ __________</w:t>
            </w:r>
            <w:proofErr w:type="gramStart"/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FB4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4C4" w:rsidRPr="00142FB4" w:rsidRDefault="002F14C4" w:rsidP="002F14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F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</w:tbl>
    <w:p w:rsidR="002F14C4" w:rsidRPr="00224041" w:rsidRDefault="002F14C4" w:rsidP="00A40374">
      <w:pPr>
        <w:tabs>
          <w:tab w:val="left" w:pos="1134"/>
        </w:tabs>
        <w:jc w:val="both"/>
      </w:pPr>
    </w:p>
    <w:sectPr w:rsidR="002F14C4" w:rsidRPr="00224041" w:rsidSect="00816414">
      <w:headerReference w:type="default" r:id="rId8"/>
      <w:pgSz w:w="11906" w:h="16838" w:code="9"/>
      <w:pgMar w:top="709" w:right="567" w:bottom="709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B8" w:rsidRDefault="00177CB8" w:rsidP="00A40374">
      <w:r>
        <w:separator/>
      </w:r>
    </w:p>
  </w:endnote>
  <w:endnote w:type="continuationSeparator" w:id="0">
    <w:p w:rsidR="00177CB8" w:rsidRDefault="00177CB8" w:rsidP="00A4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B8" w:rsidRDefault="00177CB8" w:rsidP="00A40374">
      <w:r>
        <w:separator/>
      </w:r>
    </w:p>
  </w:footnote>
  <w:footnote w:type="continuationSeparator" w:id="0">
    <w:p w:rsidR="00177CB8" w:rsidRDefault="00177CB8" w:rsidP="00A4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846243"/>
      <w:docPartObj>
        <w:docPartGallery w:val="Page Numbers (Top of Page)"/>
        <w:docPartUnique/>
      </w:docPartObj>
    </w:sdtPr>
    <w:sdtEndPr/>
    <w:sdtContent>
      <w:p w:rsidR="001E15B9" w:rsidRDefault="001E15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000">
          <w:rPr>
            <w:noProof/>
          </w:rPr>
          <w:t>10</w:t>
        </w:r>
        <w:r>
          <w:fldChar w:fldCharType="end"/>
        </w:r>
      </w:p>
    </w:sdtContent>
  </w:sdt>
  <w:p w:rsidR="001E15B9" w:rsidRDefault="001E15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2C1C"/>
    <w:multiLevelType w:val="hybridMultilevel"/>
    <w:tmpl w:val="0B261E1C"/>
    <w:lvl w:ilvl="0" w:tplc="DFC8BB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41"/>
    <w:rsid w:val="00045595"/>
    <w:rsid w:val="0010247E"/>
    <w:rsid w:val="00124F5D"/>
    <w:rsid w:val="00142FB4"/>
    <w:rsid w:val="00177CB8"/>
    <w:rsid w:val="001E15B9"/>
    <w:rsid w:val="00224041"/>
    <w:rsid w:val="002445E1"/>
    <w:rsid w:val="002C1000"/>
    <w:rsid w:val="002F14C4"/>
    <w:rsid w:val="0031000E"/>
    <w:rsid w:val="00372732"/>
    <w:rsid w:val="004201EB"/>
    <w:rsid w:val="00442482"/>
    <w:rsid w:val="004E3E85"/>
    <w:rsid w:val="00560A40"/>
    <w:rsid w:val="005A0003"/>
    <w:rsid w:val="005F20C3"/>
    <w:rsid w:val="00632B16"/>
    <w:rsid w:val="006D0D5C"/>
    <w:rsid w:val="006D4A8E"/>
    <w:rsid w:val="006F37E8"/>
    <w:rsid w:val="007B1BE7"/>
    <w:rsid w:val="00816414"/>
    <w:rsid w:val="00843EE4"/>
    <w:rsid w:val="00896BD2"/>
    <w:rsid w:val="008C69C3"/>
    <w:rsid w:val="009D1DD7"/>
    <w:rsid w:val="00A40374"/>
    <w:rsid w:val="00A415B6"/>
    <w:rsid w:val="00A838A5"/>
    <w:rsid w:val="00A91BBF"/>
    <w:rsid w:val="00B73DD4"/>
    <w:rsid w:val="00BD4180"/>
    <w:rsid w:val="00C0213D"/>
    <w:rsid w:val="00C408E3"/>
    <w:rsid w:val="00CA26AD"/>
    <w:rsid w:val="00D47F2D"/>
    <w:rsid w:val="00DC0226"/>
    <w:rsid w:val="00DE59CB"/>
    <w:rsid w:val="00E054D7"/>
    <w:rsid w:val="00E17292"/>
    <w:rsid w:val="00EB550F"/>
    <w:rsid w:val="00F30069"/>
    <w:rsid w:val="00FD5DD1"/>
    <w:rsid w:val="00FD7026"/>
    <w:rsid w:val="00FD7098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00E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2F14C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F14C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F14C4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2F14C4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F14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14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14C4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F14C4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2F14C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2F14C4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2F14C4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2F14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14C4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14C4"/>
    <w:pPr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F14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14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14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14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14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14C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F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4C4"/>
  </w:style>
  <w:style w:type="paragraph" w:styleId="a8">
    <w:name w:val="footer"/>
    <w:basedOn w:val="a"/>
    <w:link w:val="a9"/>
    <w:uiPriority w:val="99"/>
    <w:unhideWhenUsed/>
    <w:rsid w:val="002F1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4C4"/>
  </w:style>
  <w:style w:type="character" w:styleId="aa">
    <w:name w:val="page number"/>
    <w:basedOn w:val="a0"/>
    <w:uiPriority w:val="99"/>
    <w:semiHidden/>
    <w:unhideWhenUsed/>
    <w:rsid w:val="002F14C4"/>
  </w:style>
  <w:style w:type="table" w:styleId="ab">
    <w:name w:val="Table Grid"/>
    <w:basedOn w:val="a1"/>
    <w:uiPriority w:val="59"/>
    <w:rsid w:val="002F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00E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2F14C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F14C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F14C4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2F14C4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F14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14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14C4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F14C4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2F14C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2F14C4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2F14C4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2F14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14C4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14C4"/>
    <w:pPr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F14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14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14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14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14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14C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F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4C4"/>
  </w:style>
  <w:style w:type="paragraph" w:styleId="a8">
    <w:name w:val="footer"/>
    <w:basedOn w:val="a"/>
    <w:link w:val="a9"/>
    <w:uiPriority w:val="99"/>
    <w:unhideWhenUsed/>
    <w:rsid w:val="002F1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4C4"/>
  </w:style>
  <w:style w:type="character" w:styleId="aa">
    <w:name w:val="page number"/>
    <w:basedOn w:val="a0"/>
    <w:uiPriority w:val="99"/>
    <w:semiHidden/>
    <w:unhideWhenUsed/>
    <w:rsid w:val="002F14C4"/>
  </w:style>
  <w:style w:type="table" w:styleId="ab">
    <w:name w:val="Table Grid"/>
    <w:basedOn w:val="a1"/>
    <w:uiPriority w:val="59"/>
    <w:rsid w:val="002F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Наривончик В.Е.</dc:creator>
  <cp:lastModifiedBy>БудайАА</cp:lastModifiedBy>
  <cp:revision>6</cp:revision>
  <cp:lastPrinted>2021-12-08T05:24:00Z</cp:lastPrinted>
  <dcterms:created xsi:type="dcterms:W3CDTF">2021-12-30T07:10:00Z</dcterms:created>
  <dcterms:modified xsi:type="dcterms:W3CDTF">2021-12-30T07:57:00Z</dcterms:modified>
</cp:coreProperties>
</file>